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Biorąc pod uwagę powyższą analizę - opartą o uzyskiwane - na piśmie -  informacje publiczne korespondując z brzmieniem art. 3 ust. 1 pkt. 1 Ustawy o dostępie do informacji publicznej (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</w:t>
      </w:r>
      <w:proofErr w:type="spellStart"/>
      <w:r w:rsidRPr="00316829">
        <w:rPr>
          <w:rFonts w:ascii="Arial" w:hAnsi="Arial" w:cs="Arial"/>
          <w:sz w:val="20"/>
          <w:szCs w:val="20"/>
        </w:rPr>
        <w:t>publico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e-commerce@samorzad.pl  </w:t>
      </w:r>
    </w:p>
    <w:p w14:paraId="5287CE5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- Wnosimy o to, aby odpowiedź w  przedmiocie powyższych pytań  złożonych na mocy art. 61 i 63 Konstytucji RP - w związku z art.  241 KPA, została udzielona - zwrotnie na adres poczty elektronicznej e-commerce@samorzad.pl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</w:t>
      </w:r>
      <w:proofErr w:type="spellStart"/>
      <w:r w:rsidRPr="00316829">
        <w:rPr>
          <w:rFonts w:ascii="Arial" w:hAnsi="Arial" w:cs="Arial"/>
          <w:sz w:val="20"/>
          <w:szCs w:val="20"/>
        </w:rPr>
        <w:t>pln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</w:t>
      </w:r>
      <w:proofErr w:type="spellStart"/>
      <w:r w:rsidRPr="00316829">
        <w:rPr>
          <w:rFonts w:ascii="Arial" w:hAnsi="Arial" w:cs="Arial"/>
          <w:sz w:val="20"/>
          <w:szCs w:val="20"/>
        </w:rPr>
        <w:t>sie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na  wzmiankowany art. 241 KPA - scilicet: "Przedmiotem wniosku mogą być w szczególności sprawy ulepszenia organizacji, wzmocnienia </w:t>
      </w:r>
      <w:r w:rsidRPr="00316829">
        <w:rPr>
          <w:rFonts w:ascii="Arial" w:hAnsi="Arial" w:cs="Arial"/>
          <w:sz w:val="20"/>
          <w:szCs w:val="20"/>
        </w:rPr>
        <w:lastRenderedPageBreak/>
        <w:t xml:space="preserve">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Nazwa Wnioskodawca/</w:t>
      </w:r>
      <w:proofErr w:type="spellStart"/>
      <w:r w:rsidRPr="00316829">
        <w:rPr>
          <w:rFonts w:ascii="Arial" w:hAnsi="Arial" w:cs="Arial"/>
          <w:sz w:val="20"/>
          <w:szCs w:val="20"/>
        </w:rPr>
        <w:t>Petycjodawca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Pamiętajmy również o przepisach zawartych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316829">
        <w:rPr>
          <w:rFonts w:ascii="Arial" w:hAnsi="Arial" w:cs="Arial"/>
          <w:sz w:val="20"/>
          <w:szCs w:val="20"/>
        </w:rPr>
        <w:t>petycjodawcę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7D24ED1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p w14:paraId="0CA783D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17885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7B693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2544D8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72FC4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66C3CD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316829"/>
    <w:rsid w:val="005C4DE8"/>
    <w:rsid w:val="00C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Magdalena Wspaniała</cp:lastModifiedBy>
  <cp:revision>2</cp:revision>
  <dcterms:created xsi:type="dcterms:W3CDTF">2024-01-15T13:01:00Z</dcterms:created>
  <dcterms:modified xsi:type="dcterms:W3CDTF">2024-01-15T13:01:00Z</dcterms:modified>
</cp:coreProperties>
</file>